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014" w:type="dxa"/>
        <w:tblLayout w:type="fixed"/>
        <w:tblLook w:val="04A0" w:firstRow="1" w:lastRow="0" w:firstColumn="1" w:lastColumn="0" w:noHBand="0" w:noVBand="1"/>
      </w:tblPr>
      <w:tblGrid>
        <w:gridCol w:w="918"/>
        <w:gridCol w:w="1281"/>
        <w:gridCol w:w="3399"/>
        <w:gridCol w:w="3690"/>
        <w:gridCol w:w="726"/>
      </w:tblGrid>
      <w:tr w:rsidR="00EE148C" w:rsidRPr="00642EED" w14:paraId="4BE912C1" w14:textId="77777777" w:rsidTr="00EE148C">
        <w:tc>
          <w:tcPr>
            <w:tcW w:w="918" w:type="dxa"/>
          </w:tcPr>
          <w:p w14:paraId="7A23EB0C" w14:textId="77777777" w:rsidR="00642EED" w:rsidRPr="00642EED" w:rsidRDefault="00642EED" w:rsidP="00642EED">
            <w:pPr>
              <w:rPr>
                <w:rFonts w:ascii="Arial" w:hAnsi="Arial" w:cs="Arial"/>
                <w:b/>
                <w:sz w:val="18"/>
                <w:szCs w:val="18"/>
              </w:rPr>
            </w:pPr>
            <w:r w:rsidRPr="00642EED">
              <w:rPr>
                <w:rFonts w:ascii="Arial" w:hAnsi="Arial" w:cs="Arial"/>
                <w:b/>
                <w:sz w:val="18"/>
                <w:szCs w:val="18"/>
              </w:rPr>
              <w:t>Date</w:t>
            </w:r>
          </w:p>
        </w:tc>
        <w:tc>
          <w:tcPr>
            <w:tcW w:w="1281" w:type="dxa"/>
          </w:tcPr>
          <w:p w14:paraId="4EFD21AC" w14:textId="77777777" w:rsidR="00642EED" w:rsidRPr="00642EED" w:rsidRDefault="00642EED" w:rsidP="00642EED">
            <w:pPr>
              <w:rPr>
                <w:rFonts w:ascii="Arial" w:hAnsi="Arial" w:cs="Arial"/>
                <w:b/>
                <w:sz w:val="18"/>
                <w:szCs w:val="18"/>
              </w:rPr>
            </w:pPr>
            <w:r w:rsidRPr="00642EED">
              <w:rPr>
                <w:rFonts w:ascii="Arial" w:hAnsi="Arial" w:cs="Arial"/>
                <w:b/>
                <w:sz w:val="18"/>
                <w:szCs w:val="18"/>
              </w:rPr>
              <w:t>Event</w:t>
            </w:r>
          </w:p>
        </w:tc>
        <w:tc>
          <w:tcPr>
            <w:tcW w:w="3399" w:type="dxa"/>
          </w:tcPr>
          <w:p w14:paraId="60019621" w14:textId="77777777" w:rsidR="00642EED" w:rsidRPr="00642EED" w:rsidRDefault="00642EED" w:rsidP="00642EED">
            <w:pPr>
              <w:rPr>
                <w:rFonts w:ascii="Arial" w:hAnsi="Arial" w:cs="Arial"/>
                <w:b/>
                <w:sz w:val="18"/>
                <w:szCs w:val="18"/>
              </w:rPr>
            </w:pPr>
            <w:r w:rsidRPr="00642EED">
              <w:rPr>
                <w:rFonts w:ascii="Arial" w:hAnsi="Arial" w:cs="Arial"/>
                <w:b/>
                <w:sz w:val="18"/>
                <w:szCs w:val="18"/>
              </w:rPr>
              <w:t>Description</w:t>
            </w:r>
          </w:p>
        </w:tc>
        <w:tc>
          <w:tcPr>
            <w:tcW w:w="3690" w:type="dxa"/>
          </w:tcPr>
          <w:p w14:paraId="37E9573E" w14:textId="77777777" w:rsidR="00642EED" w:rsidRPr="00642EED" w:rsidRDefault="00642EED" w:rsidP="00642EED">
            <w:pPr>
              <w:rPr>
                <w:rFonts w:ascii="Arial" w:hAnsi="Arial" w:cs="Arial"/>
                <w:b/>
                <w:sz w:val="18"/>
                <w:szCs w:val="18"/>
              </w:rPr>
            </w:pPr>
            <w:r w:rsidRPr="00642EED">
              <w:rPr>
                <w:rFonts w:ascii="Arial" w:hAnsi="Arial" w:cs="Arial"/>
                <w:b/>
                <w:sz w:val="18"/>
                <w:szCs w:val="18"/>
              </w:rPr>
              <w:t>Link</w:t>
            </w:r>
          </w:p>
        </w:tc>
        <w:tc>
          <w:tcPr>
            <w:tcW w:w="726" w:type="dxa"/>
          </w:tcPr>
          <w:p w14:paraId="0DC4A48B" w14:textId="77777777" w:rsidR="00642EED" w:rsidRPr="00642EED" w:rsidRDefault="00642EED" w:rsidP="00642EED">
            <w:pPr>
              <w:rPr>
                <w:rFonts w:ascii="Arial" w:hAnsi="Arial" w:cs="Arial"/>
                <w:b/>
                <w:sz w:val="18"/>
                <w:szCs w:val="18"/>
              </w:rPr>
            </w:pPr>
            <w:r w:rsidRPr="00642EED">
              <w:rPr>
                <w:rFonts w:ascii="Arial" w:hAnsi="Arial" w:cs="Arial"/>
                <w:b/>
                <w:sz w:val="18"/>
                <w:szCs w:val="18"/>
              </w:rPr>
              <w:t>Photo</w:t>
            </w:r>
          </w:p>
        </w:tc>
      </w:tr>
      <w:tr w:rsidR="00EE148C" w:rsidRPr="00642EED" w14:paraId="0C6496C9" w14:textId="77777777" w:rsidTr="00EE148C">
        <w:tc>
          <w:tcPr>
            <w:tcW w:w="918" w:type="dxa"/>
          </w:tcPr>
          <w:p w14:paraId="47816109" w14:textId="120507C0" w:rsidR="00642EED" w:rsidRPr="00642EED" w:rsidRDefault="004317C3" w:rsidP="00642EED">
            <w:pPr>
              <w:rPr>
                <w:rFonts w:ascii="Arial" w:hAnsi="Arial" w:cs="Arial"/>
                <w:sz w:val="18"/>
                <w:szCs w:val="18"/>
              </w:rPr>
            </w:pPr>
            <w:r>
              <w:rPr>
                <w:rFonts w:ascii="Arial" w:hAnsi="Arial" w:cs="Arial"/>
                <w:sz w:val="18"/>
                <w:szCs w:val="18"/>
              </w:rPr>
              <w:t>05/21/15</w:t>
            </w:r>
          </w:p>
        </w:tc>
        <w:tc>
          <w:tcPr>
            <w:tcW w:w="1281" w:type="dxa"/>
          </w:tcPr>
          <w:p w14:paraId="497477D3" w14:textId="77777777" w:rsidR="00642EED" w:rsidRPr="00642EED" w:rsidRDefault="00642EED" w:rsidP="00642EED">
            <w:pPr>
              <w:rPr>
                <w:rFonts w:ascii="Arial" w:eastAsia="Times New Roman" w:hAnsi="Arial" w:cs="Arial"/>
                <w:sz w:val="18"/>
                <w:szCs w:val="18"/>
              </w:rPr>
            </w:pPr>
            <w:r w:rsidRPr="00642EED">
              <w:rPr>
                <w:rFonts w:ascii="Arial" w:eastAsia="Times New Roman" w:hAnsi="Arial" w:cs="Arial"/>
                <w:color w:val="000000"/>
                <w:sz w:val="18"/>
                <w:szCs w:val="18"/>
              </w:rPr>
              <w:t>The DEC rescinds "negative declaration" in regards to Global Companies' request to expand Port of Albany operations.</w:t>
            </w:r>
          </w:p>
          <w:p w14:paraId="1425C687" w14:textId="77777777" w:rsidR="00642EED" w:rsidRPr="00642EED" w:rsidRDefault="00642EED" w:rsidP="00642EED">
            <w:pPr>
              <w:rPr>
                <w:rFonts w:ascii="Arial" w:hAnsi="Arial" w:cs="Arial"/>
                <w:sz w:val="18"/>
                <w:szCs w:val="18"/>
              </w:rPr>
            </w:pPr>
          </w:p>
        </w:tc>
        <w:tc>
          <w:tcPr>
            <w:tcW w:w="3399" w:type="dxa"/>
          </w:tcPr>
          <w:p w14:paraId="083DD99A" w14:textId="77777777" w:rsidR="00642EED" w:rsidRPr="00642EED" w:rsidRDefault="00642EED" w:rsidP="00642EED">
            <w:pPr>
              <w:rPr>
                <w:rFonts w:ascii="Arial" w:eastAsia="Times New Roman" w:hAnsi="Arial" w:cs="Arial"/>
                <w:sz w:val="18"/>
                <w:szCs w:val="18"/>
              </w:rPr>
            </w:pPr>
            <w:r w:rsidRPr="00642EED">
              <w:rPr>
                <w:rFonts w:ascii="Arial" w:eastAsia="Times New Roman" w:hAnsi="Arial" w:cs="Arial"/>
                <w:color w:val="000000"/>
                <w:sz w:val="18"/>
                <w:szCs w:val="18"/>
              </w:rPr>
              <w:t>In May of 2015, The DEC decided to reverse their decision regarding Global Companies' request to expand their oil heating operations at the Port of Albany.  The DEC had originally declared in </w:t>
            </w:r>
            <w:r>
              <w:rPr>
                <w:rFonts w:ascii="Arial" w:eastAsia="Times New Roman" w:hAnsi="Arial" w:cs="Arial"/>
                <w:color w:val="000000"/>
                <w:sz w:val="18"/>
                <w:szCs w:val="18"/>
              </w:rPr>
              <w:t xml:space="preserve">late 2013 that </w:t>
            </w:r>
            <w:proofErr w:type="spellStart"/>
            <w:r>
              <w:rPr>
                <w:rFonts w:ascii="Arial" w:eastAsia="Times New Roman" w:hAnsi="Arial" w:cs="Arial"/>
                <w:color w:val="000000"/>
                <w:sz w:val="18"/>
                <w:szCs w:val="18"/>
              </w:rPr>
              <w:t>Global’s</w:t>
            </w:r>
            <w:proofErr w:type="spellEnd"/>
            <w:r>
              <w:rPr>
                <w:rFonts w:ascii="Arial" w:eastAsia="Times New Roman" w:hAnsi="Arial" w:cs="Arial"/>
                <w:color w:val="000000"/>
                <w:sz w:val="18"/>
                <w:szCs w:val="18"/>
              </w:rPr>
              <w:t xml:space="preserve"> proposed facility would not pose any significant harm to the environment.  While they did not say that the facility would be harmful, by taking back their decision, they are saying that it is not clear that it doesn’t.</w:t>
            </w:r>
          </w:p>
          <w:p w14:paraId="47D19108" w14:textId="77777777" w:rsidR="00642EED" w:rsidRPr="00642EED" w:rsidRDefault="00642EED" w:rsidP="00642EED">
            <w:pPr>
              <w:rPr>
                <w:rFonts w:ascii="Arial" w:hAnsi="Arial" w:cs="Arial"/>
                <w:sz w:val="18"/>
                <w:szCs w:val="18"/>
              </w:rPr>
            </w:pPr>
          </w:p>
        </w:tc>
        <w:tc>
          <w:tcPr>
            <w:tcW w:w="3690" w:type="dxa"/>
          </w:tcPr>
          <w:p w14:paraId="4DB5C090" w14:textId="07CC7B1D" w:rsidR="00642EED" w:rsidRDefault="00642EED" w:rsidP="00642EED">
            <w:pPr>
              <w:rPr>
                <w:rFonts w:ascii="Arial" w:eastAsia="Times New Roman" w:hAnsi="Arial" w:cs="Arial"/>
                <w:color w:val="000000"/>
                <w:sz w:val="18"/>
                <w:szCs w:val="18"/>
              </w:rPr>
            </w:pPr>
            <w:r w:rsidRPr="00642EED">
              <w:rPr>
                <w:rFonts w:ascii="Arial" w:eastAsia="Times New Roman" w:hAnsi="Arial" w:cs="Arial"/>
                <w:color w:val="000000"/>
                <w:sz w:val="18"/>
                <w:szCs w:val="18"/>
              </w:rPr>
              <w:t> </w:t>
            </w:r>
            <w:hyperlink r:id="rId6" w:history="1">
              <w:r w:rsidR="00AF730E" w:rsidRPr="005471E5">
                <w:rPr>
                  <w:rStyle w:val="Hyperlink"/>
                  <w:rFonts w:ascii="Arial" w:eastAsia="Times New Roman" w:hAnsi="Arial" w:cs="Arial"/>
                  <w:sz w:val="18"/>
                  <w:szCs w:val="18"/>
                </w:rPr>
                <w:t>http://www.dec.ny.gov/permits/95623.html</w:t>
              </w:r>
            </w:hyperlink>
          </w:p>
          <w:p w14:paraId="5BE6E3EB" w14:textId="77777777" w:rsidR="00AF730E" w:rsidRPr="00642EED" w:rsidRDefault="00AF730E" w:rsidP="00642EED">
            <w:pPr>
              <w:rPr>
                <w:rFonts w:ascii="Arial" w:eastAsia="Times New Roman" w:hAnsi="Arial" w:cs="Arial"/>
                <w:sz w:val="18"/>
                <w:szCs w:val="18"/>
              </w:rPr>
            </w:pPr>
          </w:p>
          <w:p w14:paraId="50A93A4A" w14:textId="77777777" w:rsidR="00642EED" w:rsidRPr="00642EED" w:rsidRDefault="00642EED" w:rsidP="00642EED">
            <w:pPr>
              <w:rPr>
                <w:rFonts w:ascii="Arial" w:hAnsi="Arial" w:cs="Arial"/>
                <w:sz w:val="18"/>
                <w:szCs w:val="18"/>
              </w:rPr>
            </w:pPr>
          </w:p>
        </w:tc>
        <w:tc>
          <w:tcPr>
            <w:tcW w:w="726" w:type="dxa"/>
          </w:tcPr>
          <w:p w14:paraId="072E0AE5" w14:textId="77777777" w:rsidR="00642EED" w:rsidRPr="00642EED" w:rsidRDefault="00642EED" w:rsidP="00642EED">
            <w:pPr>
              <w:rPr>
                <w:rFonts w:ascii="Arial" w:hAnsi="Arial" w:cs="Arial"/>
                <w:sz w:val="18"/>
                <w:szCs w:val="18"/>
              </w:rPr>
            </w:pPr>
          </w:p>
        </w:tc>
      </w:tr>
      <w:tr w:rsidR="00EE148C" w:rsidRPr="00642EED" w14:paraId="16BA1E5A" w14:textId="77777777" w:rsidTr="00EE148C">
        <w:tc>
          <w:tcPr>
            <w:tcW w:w="918" w:type="dxa"/>
          </w:tcPr>
          <w:p w14:paraId="09F95B37" w14:textId="5748BAD3" w:rsidR="00642EED" w:rsidRPr="00642EED" w:rsidRDefault="004317C3" w:rsidP="00642EED">
            <w:pPr>
              <w:rPr>
                <w:rFonts w:ascii="Arial" w:hAnsi="Arial" w:cs="Arial"/>
                <w:sz w:val="18"/>
                <w:szCs w:val="18"/>
              </w:rPr>
            </w:pPr>
            <w:r>
              <w:rPr>
                <w:rFonts w:ascii="Arial" w:hAnsi="Arial" w:cs="Arial"/>
                <w:sz w:val="18"/>
                <w:szCs w:val="18"/>
              </w:rPr>
              <w:t>12/17/</w:t>
            </w:r>
            <w:r w:rsidR="00AF730E">
              <w:rPr>
                <w:rFonts w:ascii="Arial" w:hAnsi="Arial" w:cs="Arial"/>
                <w:sz w:val="18"/>
                <w:szCs w:val="18"/>
              </w:rPr>
              <w:t>14</w:t>
            </w:r>
          </w:p>
        </w:tc>
        <w:tc>
          <w:tcPr>
            <w:tcW w:w="1281" w:type="dxa"/>
          </w:tcPr>
          <w:p w14:paraId="3E2CF751" w14:textId="2F649305" w:rsidR="00642EED" w:rsidRPr="00642EED" w:rsidRDefault="00AF730E" w:rsidP="00642EED">
            <w:pPr>
              <w:rPr>
                <w:rFonts w:ascii="Arial" w:hAnsi="Arial" w:cs="Arial"/>
                <w:sz w:val="18"/>
                <w:szCs w:val="18"/>
              </w:rPr>
            </w:pPr>
            <w:r>
              <w:rPr>
                <w:rFonts w:ascii="Arial" w:hAnsi="Arial" w:cs="Arial"/>
                <w:sz w:val="18"/>
                <w:szCs w:val="18"/>
              </w:rPr>
              <w:t xml:space="preserve">Gov. Cuomo Bans </w:t>
            </w:r>
            <w:proofErr w:type="spellStart"/>
            <w:r>
              <w:rPr>
                <w:rFonts w:ascii="Arial" w:hAnsi="Arial" w:cs="Arial"/>
                <w:sz w:val="18"/>
                <w:szCs w:val="18"/>
              </w:rPr>
              <w:t>Fracking</w:t>
            </w:r>
            <w:proofErr w:type="spellEnd"/>
            <w:r>
              <w:rPr>
                <w:rFonts w:ascii="Arial" w:hAnsi="Arial" w:cs="Arial"/>
                <w:sz w:val="18"/>
                <w:szCs w:val="18"/>
              </w:rPr>
              <w:t xml:space="preserve"> in NYS</w:t>
            </w:r>
          </w:p>
        </w:tc>
        <w:tc>
          <w:tcPr>
            <w:tcW w:w="3399" w:type="dxa"/>
          </w:tcPr>
          <w:p w14:paraId="5E18A9F4" w14:textId="56DB7C7C" w:rsidR="00642EED" w:rsidRPr="00642EED" w:rsidRDefault="00BA612D" w:rsidP="00642EED">
            <w:pPr>
              <w:rPr>
                <w:rFonts w:ascii="Arial" w:hAnsi="Arial" w:cs="Arial"/>
                <w:sz w:val="18"/>
                <w:szCs w:val="18"/>
              </w:rPr>
            </w:pPr>
            <w:r>
              <w:rPr>
                <w:rFonts w:ascii="Arial" w:hAnsi="Arial" w:cs="Arial"/>
                <w:sz w:val="18"/>
                <w:szCs w:val="18"/>
              </w:rPr>
              <w:t xml:space="preserve">After both the DEC and the NYS DOH conducted studies looking at the environmental/health impacts of hydraulic fracturing, Governor Cuomo decided to place a ban on issuing any permits to do so in NYS.  </w:t>
            </w:r>
          </w:p>
        </w:tc>
        <w:tc>
          <w:tcPr>
            <w:tcW w:w="3690" w:type="dxa"/>
          </w:tcPr>
          <w:p w14:paraId="359C8E61" w14:textId="1F996C92" w:rsidR="00642EED" w:rsidRDefault="00AF730E" w:rsidP="00642EED">
            <w:pPr>
              <w:rPr>
                <w:rFonts w:ascii="Arial" w:hAnsi="Arial" w:cs="Arial"/>
                <w:sz w:val="18"/>
                <w:szCs w:val="18"/>
              </w:rPr>
            </w:pPr>
            <w:hyperlink r:id="rId7" w:history="1">
              <w:r w:rsidRPr="005471E5">
                <w:rPr>
                  <w:rStyle w:val="Hyperlink"/>
                  <w:rFonts w:ascii="Arial" w:hAnsi="Arial" w:cs="Arial"/>
                  <w:sz w:val="18"/>
                  <w:szCs w:val="18"/>
                </w:rPr>
                <w:t>http://www.nytimes.com/2014/12/18/nyregion/cuomo-to-ban-fracking-in-new-york-state-citing-health-risks.html</w:t>
              </w:r>
            </w:hyperlink>
          </w:p>
          <w:p w14:paraId="733CD313" w14:textId="140C4415" w:rsidR="00AF730E" w:rsidRPr="00642EED" w:rsidRDefault="00AF730E" w:rsidP="00642EED">
            <w:pPr>
              <w:rPr>
                <w:rFonts w:ascii="Arial" w:hAnsi="Arial" w:cs="Arial"/>
                <w:sz w:val="18"/>
                <w:szCs w:val="18"/>
              </w:rPr>
            </w:pPr>
          </w:p>
        </w:tc>
        <w:tc>
          <w:tcPr>
            <w:tcW w:w="726" w:type="dxa"/>
          </w:tcPr>
          <w:p w14:paraId="7F7A6D25" w14:textId="77777777" w:rsidR="00642EED" w:rsidRPr="00642EED" w:rsidRDefault="00642EED" w:rsidP="00642EED">
            <w:pPr>
              <w:rPr>
                <w:rFonts w:ascii="Arial" w:hAnsi="Arial" w:cs="Arial"/>
                <w:sz w:val="18"/>
                <w:szCs w:val="18"/>
              </w:rPr>
            </w:pPr>
          </w:p>
        </w:tc>
      </w:tr>
      <w:tr w:rsidR="00EE148C" w:rsidRPr="00642EED" w14:paraId="01F8CC76" w14:textId="77777777" w:rsidTr="00EE148C">
        <w:tc>
          <w:tcPr>
            <w:tcW w:w="918" w:type="dxa"/>
          </w:tcPr>
          <w:p w14:paraId="7D2B2A8C" w14:textId="22B0CA05" w:rsidR="00642EED" w:rsidRPr="00642EED" w:rsidRDefault="004317C3" w:rsidP="00642EED">
            <w:pPr>
              <w:rPr>
                <w:rFonts w:ascii="Arial" w:hAnsi="Arial" w:cs="Arial"/>
                <w:sz w:val="18"/>
                <w:szCs w:val="18"/>
              </w:rPr>
            </w:pPr>
            <w:r>
              <w:rPr>
                <w:rFonts w:ascii="Arial" w:hAnsi="Arial" w:cs="Arial"/>
                <w:sz w:val="18"/>
                <w:szCs w:val="18"/>
              </w:rPr>
              <w:t>04/</w:t>
            </w:r>
            <w:r w:rsidR="00174DAA">
              <w:rPr>
                <w:rFonts w:ascii="Arial" w:hAnsi="Arial" w:cs="Arial"/>
                <w:sz w:val="18"/>
                <w:szCs w:val="18"/>
              </w:rPr>
              <w:t>20</w:t>
            </w:r>
            <w:r>
              <w:rPr>
                <w:rFonts w:ascii="Arial" w:hAnsi="Arial" w:cs="Arial"/>
                <w:sz w:val="18"/>
                <w:szCs w:val="18"/>
              </w:rPr>
              <w:t>14</w:t>
            </w:r>
          </w:p>
        </w:tc>
        <w:tc>
          <w:tcPr>
            <w:tcW w:w="1281" w:type="dxa"/>
          </w:tcPr>
          <w:p w14:paraId="7C0C447A" w14:textId="5846E51F" w:rsidR="00642EED" w:rsidRPr="00642EED" w:rsidRDefault="004317C3" w:rsidP="00642EED">
            <w:pPr>
              <w:rPr>
                <w:rFonts w:ascii="Arial" w:hAnsi="Arial" w:cs="Arial"/>
                <w:sz w:val="18"/>
                <w:szCs w:val="18"/>
              </w:rPr>
            </w:pPr>
            <w:r>
              <w:rPr>
                <w:rFonts w:ascii="Arial" w:hAnsi="Arial" w:cs="Arial"/>
                <w:sz w:val="18"/>
                <w:szCs w:val="18"/>
              </w:rPr>
              <w:t>NYS Comptroller’s Office Releases “Economic Burden of Asthma” Report</w:t>
            </w:r>
          </w:p>
        </w:tc>
        <w:tc>
          <w:tcPr>
            <w:tcW w:w="3399" w:type="dxa"/>
          </w:tcPr>
          <w:p w14:paraId="7DABF3D4" w14:textId="3064AF3B" w:rsidR="00642EED" w:rsidRPr="00642EED" w:rsidRDefault="00BA612D" w:rsidP="00642EED">
            <w:pPr>
              <w:rPr>
                <w:rFonts w:ascii="Arial" w:hAnsi="Arial" w:cs="Arial"/>
                <w:sz w:val="18"/>
                <w:szCs w:val="18"/>
              </w:rPr>
            </w:pPr>
            <w:r>
              <w:rPr>
                <w:rFonts w:ascii="Arial" w:hAnsi="Arial" w:cs="Arial"/>
                <w:sz w:val="18"/>
                <w:szCs w:val="18"/>
              </w:rPr>
              <w:t xml:space="preserve">The NYS Comptroller’s Office released a document that labeled the cost of asthma in NYS, measured in lost productivity, missed </w:t>
            </w:r>
            <w:proofErr w:type="gramStart"/>
            <w:r>
              <w:rPr>
                <w:rFonts w:ascii="Arial" w:hAnsi="Arial" w:cs="Arial"/>
                <w:sz w:val="18"/>
                <w:szCs w:val="18"/>
              </w:rPr>
              <w:t>work days</w:t>
            </w:r>
            <w:proofErr w:type="gramEnd"/>
            <w:r>
              <w:rPr>
                <w:rFonts w:ascii="Arial" w:hAnsi="Arial" w:cs="Arial"/>
                <w:sz w:val="18"/>
                <w:szCs w:val="18"/>
              </w:rPr>
              <w:t xml:space="preserve">, and medical costs, at more than one billion dollars.  The report also stresses how asthma disproportionally affects people under </w:t>
            </w:r>
            <w:r w:rsidR="008768B3">
              <w:rPr>
                <w:rFonts w:ascii="Arial" w:hAnsi="Arial" w:cs="Arial"/>
                <w:sz w:val="18"/>
                <w:szCs w:val="18"/>
              </w:rPr>
              <w:t xml:space="preserve">Medicaid, which puts the burden on the </w:t>
            </w:r>
            <w:proofErr w:type="gramStart"/>
            <w:r w:rsidR="008768B3">
              <w:rPr>
                <w:rFonts w:ascii="Arial" w:hAnsi="Arial" w:cs="Arial"/>
                <w:sz w:val="18"/>
                <w:szCs w:val="18"/>
              </w:rPr>
              <w:t>tax-payers</w:t>
            </w:r>
            <w:proofErr w:type="gramEnd"/>
            <w:r w:rsidR="008768B3">
              <w:rPr>
                <w:rFonts w:ascii="Arial" w:hAnsi="Arial" w:cs="Arial"/>
                <w:sz w:val="18"/>
                <w:szCs w:val="18"/>
              </w:rPr>
              <w:t>.</w:t>
            </w:r>
          </w:p>
        </w:tc>
        <w:tc>
          <w:tcPr>
            <w:tcW w:w="3690" w:type="dxa"/>
          </w:tcPr>
          <w:p w14:paraId="19A7A22D" w14:textId="783F7CFA" w:rsidR="00642EED" w:rsidRDefault="004317C3" w:rsidP="00642EED">
            <w:pPr>
              <w:rPr>
                <w:rFonts w:ascii="Arial" w:hAnsi="Arial" w:cs="Arial"/>
                <w:sz w:val="18"/>
                <w:szCs w:val="18"/>
              </w:rPr>
            </w:pPr>
            <w:hyperlink r:id="rId8" w:history="1">
              <w:r w:rsidRPr="005471E5">
                <w:rPr>
                  <w:rStyle w:val="Hyperlink"/>
                  <w:rFonts w:ascii="Arial" w:hAnsi="Arial" w:cs="Arial"/>
                  <w:sz w:val="18"/>
                  <w:szCs w:val="18"/>
                </w:rPr>
                <w:t>http://www.osc.state.ny.us/reports/economic/asthma_2014.pdf</w:t>
              </w:r>
            </w:hyperlink>
          </w:p>
          <w:p w14:paraId="48B6016E" w14:textId="179DBEA6" w:rsidR="004317C3" w:rsidRPr="00642EED" w:rsidRDefault="004317C3" w:rsidP="00642EED">
            <w:pPr>
              <w:rPr>
                <w:rFonts w:ascii="Arial" w:hAnsi="Arial" w:cs="Arial"/>
                <w:sz w:val="18"/>
                <w:szCs w:val="18"/>
              </w:rPr>
            </w:pPr>
          </w:p>
        </w:tc>
        <w:tc>
          <w:tcPr>
            <w:tcW w:w="726" w:type="dxa"/>
          </w:tcPr>
          <w:p w14:paraId="0961A4B8" w14:textId="77777777" w:rsidR="00642EED" w:rsidRPr="00642EED" w:rsidRDefault="00642EED" w:rsidP="00642EED">
            <w:pPr>
              <w:rPr>
                <w:rFonts w:ascii="Arial" w:hAnsi="Arial" w:cs="Arial"/>
                <w:sz w:val="18"/>
                <w:szCs w:val="18"/>
              </w:rPr>
            </w:pPr>
          </w:p>
        </w:tc>
      </w:tr>
      <w:tr w:rsidR="00EE148C" w:rsidRPr="00642EED" w14:paraId="179A1452" w14:textId="77777777" w:rsidTr="00EE148C">
        <w:tc>
          <w:tcPr>
            <w:tcW w:w="918" w:type="dxa"/>
          </w:tcPr>
          <w:p w14:paraId="7EE4A7D7" w14:textId="3A2CBAA2" w:rsidR="0078348E" w:rsidRPr="00642EED" w:rsidRDefault="003E53D8" w:rsidP="00642EED">
            <w:pPr>
              <w:rPr>
                <w:rFonts w:ascii="Arial" w:hAnsi="Arial" w:cs="Arial"/>
                <w:sz w:val="18"/>
                <w:szCs w:val="18"/>
              </w:rPr>
            </w:pPr>
            <w:r>
              <w:rPr>
                <w:rFonts w:ascii="Arial" w:hAnsi="Arial" w:cs="Arial"/>
                <w:sz w:val="18"/>
                <w:szCs w:val="18"/>
              </w:rPr>
              <w:t>09/01/15</w:t>
            </w:r>
          </w:p>
        </w:tc>
        <w:tc>
          <w:tcPr>
            <w:tcW w:w="1281" w:type="dxa"/>
          </w:tcPr>
          <w:p w14:paraId="2507EDA6" w14:textId="6100A62D" w:rsidR="0078348E" w:rsidRPr="00642EED" w:rsidRDefault="003E53D8" w:rsidP="00642EED">
            <w:pPr>
              <w:rPr>
                <w:rFonts w:ascii="Arial" w:hAnsi="Arial" w:cs="Arial"/>
                <w:sz w:val="18"/>
                <w:szCs w:val="18"/>
              </w:rPr>
            </w:pPr>
            <w:r>
              <w:rPr>
                <w:rFonts w:ascii="Arial" w:hAnsi="Arial" w:cs="Arial"/>
                <w:sz w:val="18"/>
                <w:szCs w:val="18"/>
              </w:rPr>
              <w:t>Environmental Groups Threaten to sue Global Partners over Oil Facilities</w:t>
            </w:r>
          </w:p>
        </w:tc>
        <w:tc>
          <w:tcPr>
            <w:tcW w:w="3399" w:type="dxa"/>
          </w:tcPr>
          <w:p w14:paraId="3C34CD99" w14:textId="33E5AF59" w:rsidR="0078348E" w:rsidRPr="00642EED" w:rsidRDefault="00F35A6C" w:rsidP="00642EED">
            <w:pPr>
              <w:rPr>
                <w:rFonts w:ascii="Arial" w:hAnsi="Arial" w:cs="Arial"/>
                <w:sz w:val="18"/>
                <w:szCs w:val="18"/>
              </w:rPr>
            </w:pPr>
            <w:r>
              <w:rPr>
                <w:rFonts w:ascii="Arial" w:hAnsi="Arial" w:cs="Arial"/>
                <w:sz w:val="18"/>
                <w:szCs w:val="18"/>
              </w:rPr>
              <w:t>Albany County, along with several environmental groups, have all sent a letter to Global Partners regarding their intent to sue them over what they believe is a violation of the Clean Air Act.  Earth Justice would be representing their claim.</w:t>
            </w:r>
          </w:p>
        </w:tc>
        <w:tc>
          <w:tcPr>
            <w:tcW w:w="3690" w:type="dxa"/>
          </w:tcPr>
          <w:p w14:paraId="3A7BCB22" w14:textId="77777777" w:rsidR="003E53D8" w:rsidRPr="003E53D8" w:rsidRDefault="003E53D8" w:rsidP="003E53D8">
            <w:pPr>
              <w:rPr>
                <w:rFonts w:ascii="Arial" w:eastAsia="Times New Roman" w:hAnsi="Arial" w:cs="Arial"/>
                <w:sz w:val="18"/>
                <w:szCs w:val="18"/>
              </w:rPr>
            </w:pPr>
            <w:hyperlink r:id="rId9" w:history="1">
              <w:r w:rsidRPr="003E53D8">
                <w:rPr>
                  <w:rStyle w:val="Hyperlink"/>
                  <w:rFonts w:ascii="Arial" w:eastAsia="Times New Roman" w:hAnsi="Arial" w:cs="Arial"/>
                  <w:sz w:val="18"/>
                  <w:szCs w:val="18"/>
                </w:rPr>
                <w:t>http://www.troyrecord.com/business/20150901/county-files-suit-against-crude-oil-business</w:t>
              </w:r>
            </w:hyperlink>
          </w:p>
          <w:p w14:paraId="50C04DAF" w14:textId="77777777" w:rsidR="0078348E" w:rsidRPr="00642EED" w:rsidRDefault="0078348E" w:rsidP="00642EED">
            <w:pPr>
              <w:rPr>
                <w:rFonts w:ascii="Arial" w:hAnsi="Arial" w:cs="Arial"/>
                <w:sz w:val="18"/>
                <w:szCs w:val="18"/>
              </w:rPr>
            </w:pPr>
          </w:p>
        </w:tc>
        <w:tc>
          <w:tcPr>
            <w:tcW w:w="726" w:type="dxa"/>
          </w:tcPr>
          <w:p w14:paraId="7C710A03" w14:textId="77777777" w:rsidR="0078348E" w:rsidRPr="00642EED" w:rsidRDefault="0078348E" w:rsidP="00642EED">
            <w:pPr>
              <w:rPr>
                <w:rFonts w:ascii="Arial" w:hAnsi="Arial" w:cs="Arial"/>
                <w:sz w:val="18"/>
                <w:szCs w:val="18"/>
              </w:rPr>
            </w:pPr>
          </w:p>
        </w:tc>
      </w:tr>
      <w:tr w:rsidR="00EE148C" w:rsidRPr="00642EED" w14:paraId="46B25BFC" w14:textId="77777777" w:rsidTr="00EE148C">
        <w:tc>
          <w:tcPr>
            <w:tcW w:w="918" w:type="dxa"/>
          </w:tcPr>
          <w:p w14:paraId="4FE1D073" w14:textId="5D8D92A7" w:rsidR="0078348E" w:rsidRPr="00642EED" w:rsidRDefault="00174DAA" w:rsidP="00642EED">
            <w:pPr>
              <w:rPr>
                <w:rFonts w:ascii="Arial" w:hAnsi="Arial" w:cs="Arial"/>
                <w:sz w:val="18"/>
                <w:szCs w:val="18"/>
              </w:rPr>
            </w:pPr>
            <w:r>
              <w:rPr>
                <w:rFonts w:ascii="Arial" w:hAnsi="Arial" w:cs="Arial"/>
                <w:sz w:val="18"/>
                <w:szCs w:val="18"/>
              </w:rPr>
              <w:t>2009</w:t>
            </w:r>
          </w:p>
        </w:tc>
        <w:tc>
          <w:tcPr>
            <w:tcW w:w="1281" w:type="dxa"/>
          </w:tcPr>
          <w:p w14:paraId="2506A9BD" w14:textId="1B400675" w:rsidR="0078348E" w:rsidRPr="00642EED" w:rsidRDefault="00174DAA" w:rsidP="00642EED">
            <w:pPr>
              <w:rPr>
                <w:rFonts w:ascii="Arial" w:hAnsi="Arial" w:cs="Arial"/>
                <w:sz w:val="18"/>
                <w:szCs w:val="18"/>
              </w:rPr>
            </w:pPr>
            <w:r>
              <w:rPr>
                <w:rFonts w:ascii="Arial" w:hAnsi="Arial" w:cs="Arial"/>
                <w:sz w:val="18"/>
                <w:szCs w:val="18"/>
              </w:rPr>
              <w:t>GE begins dredging Hudson River</w:t>
            </w:r>
          </w:p>
        </w:tc>
        <w:tc>
          <w:tcPr>
            <w:tcW w:w="3399" w:type="dxa"/>
          </w:tcPr>
          <w:p w14:paraId="0BAA88F6" w14:textId="0A20A797" w:rsidR="0078348E" w:rsidRPr="00642EED" w:rsidRDefault="00174DAA" w:rsidP="00642EED">
            <w:pPr>
              <w:rPr>
                <w:rFonts w:ascii="Arial" w:hAnsi="Arial" w:cs="Arial"/>
                <w:sz w:val="18"/>
                <w:szCs w:val="18"/>
              </w:rPr>
            </w:pPr>
            <w:r>
              <w:rPr>
                <w:rFonts w:ascii="Arial" w:hAnsi="Arial" w:cs="Arial"/>
                <w:sz w:val="18"/>
                <w:szCs w:val="18"/>
              </w:rPr>
              <w:t>While PCB’s in the Hudson have been documented since the 70’s, with serious plans to remediate the area beginning in the 90’s, dredging did not begin until 2009.  The dredging ends in October of 2015.  While the “remediation” is now over, Natural Resource Damage Claims will begin to be a problem for GE.</w:t>
            </w:r>
          </w:p>
        </w:tc>
        <w:tc>
          <w:tcPr>
            <w:tcW w:w="3690" w:type="dxa"/>
          </w:tcPr>
          <w:p w14:paraId="6747A20D" w14:textId="56B5A988" w:rsidR="0078348E" w:rsidRDefault="00174DAA" w:rsidP="00642EED">
            <w:pPr>
              <w:rPr>
                <w:rFonts w:ascii="Arial" w:hAnsi="Arial" w:cs="Arial"/>
                <w:sz w:val="18"/>
                <w:szCs w:val="18"/>
              </w:rPr>
            </w:pPr>
            <w:hyperlink r:id="rId10" w:history="1">
              <w:r w:rsidRPr="005471E5">
                <w:rPr>
                  <w:rStyle w:val="Hyperlink"/>
                  <w:rFonts w:ascii="Arial" w:hAnsi="Arial" w:cs="Arial"/>
                  <w:sz w:val="18"/>
                  <w:szCs w:val="18"/>
                </w:rPr>
                <w:t>http://www.hudsondredging.com/dredging-of-the-hudson-river-chronology/</w:t>
              </w:r>
            </w:hyperlink>
          </w:p>
          <w:p w14:paraId="2854FBEB" w14:textId="2589D24A" w:rsidR="00174DAA" w:rsidRPr="00642EED" w:rsidRDefault="00174DAA" w:rsidP="00642EED">
            <w:pPr>
              <w:rPr>
                <w:rFonts w:ascii="Arial" w:hAnsi="Arial" w:cs="Arial"/>
                <w:sz w:val="18"/>
                <w:szCs w:val="18"/>
              </w:rPr>
            </w:pPr>
          </w:p>
        </w:tc>
        <w:tc>
          <w:tcPr>
            <w:tcW w:w="726" w:type="dxa"/>
          </w:tcPr>
          <w:p w14:paraId="5F5122D6" w14:textId="77777777" w:rsidR="0078348E" w:rsidRPr="00642EED" w:rsidRDefault="0078348E" w:rsidP="00642EED">
            <w:pPr>
              <w:rPr>
                <w:rFonts w:ascii="Arial" w:hAnsi="Arial" w:cs="Arial"/>
                <w:sz w:val="18"/>
                <w:szCs w:val="18"/>
              </w:rPr>
            </w:pPr>
          </w:p>
        </w:tc>
      </w:tr>
      <w:tr w:rsidR="00EE148C" w:rsidRPr="00642EED" w14:paraId="61020E66" w14:textId="77777777" w:rsidTr="00EE148C">
        <w:tc>
          <w:tcPr>
            <w:tcW w:w="918" w:type="dxa"/>
          </w:tcPr>
          <w:p w14:paraId="0F6A51FB" w14:textId="4A517ED7" w:rsidR="0078348E" w:rsidRPr="00642EED" w:rsidRDefault="00A43C2D" w:rsidP="00642EED">
            <w:pPr>
              <w:rPr>
                <w:rFonts w:ascii="Arial" w:hAnsi="Arial" w:cs="Arial"/>
                <w:sz w:val="18"/>
                <w:szCs w:val="18"/>
              </w:rPr>
            </w:pPr>
            <w:r>
              <w:rPr>
                <w:rFonts w:ascii="Arial" w:hAnsi="Arial" w:cs="Arial"/>
                <w:sz w:val="18"/>
                <w:szCs w:val="18"/>
              </w:rPr>
              <w:t>05/2014</w:t>
            </w:r>
          </w:p>
        </w:tc>
        <w:tc>
          <w:tcPr>
            <w:tcW w:w="1281" w:type="dxa"/>
          </w:tcPr>
          <w:p w14:paraId="7CD7D5A2" w14:textId="5ADA49D5" w:rsidR="0078348E" w:rsidRPr="00642EED" w:rsidRDefault="00A43C2D" w:rsidP="00A43C2D">
            <w:pPr>
              <w:rPr>
                <w:rFonts w:ascii="Arial" w:hAnsi="Arial" w:cs="Arial"/>
                <w:sz w:val="18"/>
                <w:szCs w:val="18"/>
              </w:rPr>
            </w:pPr>
            <w:r>
              <w:rPr>
                <w:rFonts w:ascii="Arial" w:hAnsi="Arial" w:cs="Arial"/>
                <w:sz w:val="18"/>
                <w:szCs w:val="18"/>
              </w:rPr>
              <w:t>DEC Air Quality Screening in South End</w:t>
            </w:r>
          </w:p>
        </w:tc>
        <w:tc>
          <w:tcPr>
            <w:tcW w:w="3399" w:type="dxa"/>
          </w:tcPr>
          <w:p w14:paraId="7F2BA4AE" w14:textId="4378ED6E" w:rsidR="0078348E" w:rsidRPr="00642EED" w:rsidRDefault="00A43C2D" w:rsidP="00642EED">
            <w:pPr>
              <w:rPr>
                <w:rFonts w:ascii="Arial" w:hAnsi="Arial" w:cs="Arial"/>
                <w:sz w:val="18"/>
                <w:szCs w:val="18"/>
              </w:rPr>
            </w:pPr>
            <w:r>
              <w:rPr>
                <w:rFonts w:ascii="Arial" w:hAnsi="Arial" w:cs="Arial"/>
                <w:sz w:val="18"/>
                <w:szCs w:val="18"/>
              </w:rPr>
              <w:t>Through the month of May, and a little of June, of 2014, the DEC set up an air monitoring station in the South End of Albany, near the port.  The air monitor was asked for by residents who thought the air had a “rotten eggs” smell and were concerned about the air quality.  The report found elevated levels of Benzene, yet the DEC said they were “not abnormal” and dismissed the findings.  It wasn’t until David Carpenter went through the report and highlighted the high levels of Benzene, that anyone else took notice.</w:t>
            </w:r>
          </w:p>
        </w:tc>
        <w:tc>
          <w:tcPr>
            <w:tcW w:w="3690" w:type="dxa"/>
          </w:tcPr>
          <w:p w14:paraId="0DC05346" w14:textId="6973D466" w:rsidR="0078348E" w:rsidRDefault="00F715A1" w:rsidP="00642EED">
            <w:pPr>
              <w:rPr>
                <w:rFonts w:ascii="Arial" w:hAnsi="Arial" w:cs="Arial"/>
                <w:sz w:val="18"/>
                <w:szCs w:val="18"/>
              </w:rPr>
            </w:pPr>
            <w:hyperlink r:id="rId11" w:history="1">
              <w:r w:rsidRPr="005471E5">
                <w:rPr>
                  <w:rStyle w:val="Hyperlink"/>
                  <w:rFonts w:ascii="Arial" w:hAnsi="Arial" w:cs="Arial"/>
                  <w:sz w:val="18"/>
                  <w:szCs w:val="18"/>
                </w:rPr>
                <w:t>http://www.dec.ny.gov/chemical/98328.html</w:t>
              </w:r>
            </w:hyperlink>
          </w:p>
          <w:p w14:paraId="485998BA" w14:textId="043559BD" w:rsidR="00F715A1" w:rsidRPr="00642EED" w:rsidRDefault="00F715A1" w:rsidP="00642EED">
            <w:pPr>
              <w:rPr>
                <w:rFonts w:ascii="Arial" w:hAnsi="Arial" w:cs="Arial"/>
                <w:sz w:val="18"/>
                <w:szCs w:val="18"/>
              </w:rPr>
            </w:pPr>
            <w:bookmarkStart w:id="0" w:name="_GoBack"/>
            <w:bookmarkEnd w:id="0"/>
          </w:p>
        </w:tc>
        <w:tc>
          <w:tcPr>
            <w:tcW w:w="726" w:type="dxa"/>
          </w:tcPr>
          <w:p w14:paraId="3044F89B" w14:textId="77777777" w:rsidR="0078348E" w:rsidRPr="00642EED" w:rsidRDefault="0078348E" w:rsidP="00642EED">
            <w:pPr>
              <w:rPr>
                <w:rFonts w:ascii="Arial" w:hAnsi="Arial" w:cs="Arial"/>
                <w:sz w:val="18"/>
                <w:szCs w:val="18"/>
              </w:rPr>
            </w:pPr>
          </w:p>
        </w:tc>
      </w:tr>
      <w:tr w:rsidR="00EE148C" w:rsidRPr="00642EED" w14:paraId="544DAC11" w14:textId="77777777" w:rsidTr="00EE148C">
        <w:tc>
          <w:tcPr>
            <w:tcW w:w="918" w:type="dxa"/>
          </w:tcPr>
          <w:p w14:paraId="417DFA61" w14:textId="77777777" w:rsidR="0078348E" w:rsidRPr="00642EED" w:rsidRDefault="0078348E" w:rsidP="00642EED">
            <w:pPr>
              <w:rPr>
                <w:rFonts w:ascii="Arial" w:hAnsi="Arial" w:cs="Arial"/>
                <w:sz w:val="18"/>
                <w:szCs w:val="18"/>
              </w:rPr>
            </w:pPr>
          </w:p>
        </w:tc>
        <w:tc>
          <w:tcPr>
            <w:tcW w:w="1281" w:type="dxa"/>
          </w:tcPr>
          <w:p w14:paraId="18FB2FD6" w14:textId="77777777" w:rsidR="0078348E" w:rsidRPr="00642EED" w:rsidRDefault="0078348E" w:rsidP="00642EED">
            <w:pPr>
              <w:rPr>
                <w:rFonts w:ascii="Arial" w:hAnsi="Arial" w:cs="Arial"/>
                <w:sz w:val="18"/>
                <w:szCs w:val="18"/>
              </w:rPr>
            </w:pPr>
          </w:p>
        </w:tc>
        <w:tc>
          <w:tcPr>
            <w:tcW w:w="3399" w:type="dxa"/>
          </w:tcPr>
          <w:p w14:paraId="7766DAFD" w14:textId="77777777" w:rsidR="0078348E" w:rsidRPr="00642EED" w:rsidRDefault="0078348E" w:rsidP="00642EED">
            <w:pPr>
              <w:rPr>
                <w:rFonts w:ascii="Arial" w:hAnsi="Arial" w:cs="Arial"/>
                <w:sz w:val="18"/>
                <w:szCs w:val="18"/>
              </w:rPr>
            </w:pPr>
          </w:p>
        </w:tc>
        <w:tc>
          <w:tcPr>
            <w:tcW w:w="3690" w:type="dxa"/>
          </w:tcPr>
          <w:p w14:paraId="3FEC093B" w14:textId="77777777" w:rsidR="0078348E" w:rsidRPr="00642EED" w:rsidRDefault="0078348E" w:rsidP="00642EED">
            <w:pPr>
              <w:rPr>
                <w:rFonts w:ascii="Arial" w:hAnsi="Arial" w:cs="Arial"/>
                <w:sz w:val="18"/>
                <w:szCs w:val="18"/>
              </w:rPr>
            </w:pPr>
          </w:p>
        </w:tc>
        <w:tc>
          <w:tcPr>
            <w:tcW w:w="726" w:type="dxa"/>
          </w:tcPr>
          <w:p w14:paraId="5D2AF6DF" w14:textId="77777777" w:rsidR="0078348E" w:rsidRPr="00642EED" w:rsidRDefault="0078348E" w:rsidP="00642EED">
            <w:pPr>
              <w:rPr>
                <w:rFonts w:ascii="Arial" w:hAnsi="Arial" w:cs="Arial"/>
                <w:sz w:val="18"/>
                <w:szCs w:val="18"/>
              </w:rPr>
            </w:pPr>
          </w:p>
        </w:tc>
      </w:tr>
      <w:tr w:rsidR="00EE148C" w:rsidRPr="00642EED" w14:paraId="55A24BED" w14:textId="77777777" w:rsidTr="00EE148C">
        <w:tc>
          <w:tcPr>
            <w:tcW w:w="918" w:type="dxa"/>
          </w:tcPr>
          <w:p w14:paraId="40C88563" w14:textId="77777777" w:rsidR="00642EED" w:rsidRPr="00642EED" w:rsidRDefault="00642EED" w:rsidP="00642EED">
            <w:pPr>
              <w:rPr>
                <w:rFonts w:ascii="Arial" w:hAnsi="Arial" w:cs="Arial"/>
                <w:sz w:val="18"/>
                <w:szCs w:val="18"/>
              </w:rPr>
            </w:pPr>
          </w:p>
        </w:tc>
        <w:tc>
          <w:tcPr>
            <w:tcW w:w="1281" w:type="dxa"/>
          </w:tcPr>
          <w:p w14:paraId="67B1FB7C" w14:textId="77777777" w:rsidR="00642EED" w:rsidRPr="00642EED" w:rsidRDefault="00642EED" w:rsidP="00642EED">
            <w:pPr>
              <w:rPr>
                <w:rFonts w:ascii="Arial" w:hAnsi="Arial" w:cs="Arial"/>
                <w:sz w:val="18"/>
                <w:szCs w:val="18"/>
              </w:rPr>
            </w:pPr>
          </w:p>
        </w:tc>
        <w:tc>
          <w:tcPr>
            <w:tcW w:w="3399" w:type="dxa"/>
          </w:tcPr>
          <w:p w14:paraId="3209B0B2" w14:textId="77777777" w:rsidR="00642EED" w:rsidRPr="00642EED" w:rsidRDefault="00642EED" w:rsidP="00642EED">
            <w:pPr>
              <w:rPr>
                <w:rFonts w:ascii="Arial" w:hAnsi="Arial" w:cs="Arial"/>
                <w:sz w:val="18"/>
                <w:szCs w:val="18"/>
              </w:rPr>
            </w:pPr>
          </w:p>
        </w:tc>
        <w:tc>
          <w:tcPr>
            <w:tcW w:w="3690" w:type="dxa"/>
          </w:tcPr>
          <w:p w14:paraId="38CC5EAD" w14:textId="77777777" w:rsidR="00642EED" w:rsidRPr="00642EED" w:rsidRDefault="00642EED" w:rsidP="00642EED">
            <w:pPr>
              <w:rPr>
                <w:rFonts w:ascii="Arial" w:hAnsi="Arial" w:cs="Arial"/>
                <w:sz w:val="18"/>
                <w:szCs w:val="18"/>
              </w:rPr>
            </w:pPr>
          </w:p>
        </w:tc>
        <w:tc>
          <w:tcPr>
            <w:tcW w:w="726" w:type="dxa"/>
          </w:tcPr>
          <w:p w14:paraId="1358EDAA" w14:textId="77777777" w:rsidR="00642EED" w:rsidRPr="00642EED" w:rsidRDefault="00642EED" w:rsidP="00642EED">
            <w:pPr>
              <w:rPr>
                <w:rFonts w:ascii="Arial" w:hAnsi="Arial" w:cs="Arial"/>
                <w:sz w:val="18"/>
                <w:szCs w:val="18"/>
              </w:rPr>
            </w:pPr>
          </w:p>
        </w:tc>
      </w:tr>
      <w:tr w:rsidR="00EE148C" w:rsidRPr="00642EED" w14:paraId="39148FB7" w14:textId="77777777" w:rsidTr="00EE148C">
        <w:tc>
          <w:tcPr>
            <w:tcW w:w="918" w:type="dxa"/>
          </w:tcPr>
          <w:p w14:paraId="4E47B3A4" w14:textId="77777777" w:rsidR="00642EED" w:rsidRPr="00642EED" w:rsidRDefault="00642EED" w:rsidP="00642EED">
            <w:pPr>
              <w:rPr>
                <w:rFonts w:ascii="Arial" w:hAnsi="Arial" w:cs="Arial"/>
                <w:sz w:val="18"/>
                <w:szCs w:val="18"/>
              </w:rPr>
            </w:pPr>
          </w:p>
        </w:tc>
        <w:tc>
          <w:tcPr>
            <w:tcW w:w="1281" w:type="dxa"/>
          </w:tcPr>
          <w:p w14:paraId="2FC36DAD" w14:textId="77777777" w:rsidR="00642EED" w:rsidRPr="00642EED" w:rsidRDefault="00642EED" w:rsidP="00642EED">
            <w:pPr>
              <w:rPr>
                <w:rFonts w:ascii="Arial" w:hAnsi="Arial" w:cs="Arial"/>
                <w:sz w:val="18"/>
                <w:szCs w:val="18"/>
              </w:rPr>
            </w:pPr>
          </w:p>
        </w:tc>
        <w:tc>
          <w:tcPr>
            <w:tcW w:w="3399" w:type="dxa"/>
          </w:tcPr>
          <w:p w14:paraId="77534A2E" w14:textId="77777777" w:rsidR="00642EED" w:rsidRPr="00642EED" w:rsidRDefault="00642EED" w:rsidP="00642EED">
            <w:pPr>
              <w:rPr>
                <w:rFonts w:ascii="Arial" w:hAnsi="Arial" w:cs="Arial"/>
                <w:sz w:val="18"/>
                <w:szCs w:val="18"/>
              </w:rPr>
            </w:pPr>
          </w:p>
        </w:tc>
        <w:tc>
          <w:tcPr>
            <w:tcW w:w="3690" w:type="dxa"/>
          </w:tcPr>
          <w:p w14:paraId="5151B9BA" w14:textId="77777777" w:rsidR="00642EED" w:rsidRPr="00642EED" w:rsidRDefault="00642EED" w:rsidP="00642EED">
            <w:pPr>
              <w:rPr>
                <w:rFonts w:ascii="Arial" w:hAnsi="Arial" w:cs="Arial"/>
                <w:sz w:val="18"/>
                <w:szCs w:val="18"/>
              </w:rPr>
            </w:pPr>
          </w:p>
        </w:tc>
        <w:tc>
          <w:tcPr>
            <w:tcW w:w="726" w:type="dxa"/>
          </w:tcPr>
          <w:p w14:paraId="474EE784" w14:textId="77777777" w:rsidR="00642EED" w:rsidRPr="00642EED" w:rsidRDefault="00642EED" w:rsidP="00642EED">
            <w:pPr>
              <w:rPr>
                <w:rFonts w:ascii="Arial" w:hAnsi="Arial" w:cs="Arial"/>
                <w:sz w:val="18"/>
                <w:szCs w:val="18"/>
              </w:rPr>
            </w:pPr>
          </w:p>
        </w:tc>
      </w:tr>
      <w:tr w:rsidR="00EE148C" w:rsidRPr="00642EED" w14:paraId="1AD9FE19" w14:textId="77777777" w:rsidTr="00EE148C">
        <w:tc>
          <w:tcPr>
            <w:tcW w:w="918" w:type="dxa"/>
          </w:tcPr>
          <w:p w14:paraId="64DA345F" w14:textId="77777777" w:rsidR="00642EED" w:rsidRPr="00642EED" w:rsidRDefault="00642EED" w:rsidP="00642EED">
            <w:pPr>
              <w:rPr>
                <w:rFonts w:ascii="Arial" w:hAnsi="Arial" w:cs="Arial"/>
                <w:sz w:val="18"/>
                <w:szCs w:val="18"/>
              </w:rPr>
            </w:pPr>
          </w:p>
        </w:tc>
        <w:tc>
          <w:tcPr>
            <w:tcW w:w="1281" w:type="dxa"/>
          </w:tcPr>
          <w:p w14:paraId="22181900" w14:textId="77777777" w:rsidR="00642EED" w:rsidRPr="00642EED" w:rsidRDefault="00642EED" w:rsidP="00642EED">
            <w:pPr>
              <w:rPr>
                <w:rFonts w:ascii="Arial" w:hAnsi="Arial" w:cs="Arial"/>
                <w:sz w:val="18"/>
                <w:szCs w:val="18"/>
              </w:rPr>
            </w:pPr>
          </w:p>
        </w:tc>
        <w:tc>
          <w:tcPr>
            <w:tcW w:w="3399" w:type="dxa"/>
          </w:tcPr>
          <w:p w14:paraId="1183CB7A" w14:textId="77777777" w:rsidR="00642EED" w:rsidRPr="00642EED" w:rsidRDefault="00642EED" w:rsidP="00642EED">
            <w:pPr>
              <w:rPr>
                <w:rFonts w:ascii="Arial" w:hAnsi="Arial" w:cs="Arial"/>
                <w:sz w:val="18"/>
                <w:szCs w:val="18"/>
              </w:rPr>
            </w:pPr>
          </w:p>
        </w:tc>
        <w:tc>
          <w:tcPr>
            <w:tcW w:w="3690" w:type="dxa"/>
          </w:tcPr>
          <w:p w14:paraId="0821BCD3" w14:textId="77777777" w:rsidR="00642EED" w:rsidRPr="00642EED" w:rsidRDefault="00642EED" w:rsidP="00642EED">
            <w:pPr>
              <w:rPr>
                <w:rFonts w:ascii="Arial" w:hAnsi="Arial" w:cs="Arial"/>
                <w:sz w:val="18"/>
                <w:szCs w:val="18"/>
              </w:rPr>
            </w:pPr>
          </w:p>
        </w:tc>
        <w:tc>
          <w:tcPr>
            <w:tcW w:w="726" w:type="dxa"/>
          </w:tcPr>
          <w:p w14:paraId="1155924B" w14:textId="77777777" w:rsidR="00642EED" w:rsidRPr="00642EED" w:rsidRDefault="00642EED" w:rsidP="00642EED">
            <w:pPr>
              <w:rPr>
                <w:rFonts w:ascii="Arial" w:hAnsi="Arial" w:cs="Arial"/>
                <w:sz w:val="18"/>
                <w:szCs w:val="18"/>
              </w:rPr>
            </w:pPr>
          </w:p>
        </w:tc>
      </w:tr>
      <w:tr w:rsidR="00EE148C" w:rsidRPr="00642EED" w14:paraId="37959B57" w14:textId="77777777" w:rsidTr="00EE148C">
        <w:tc>
          <w:tcPr>
            <w:tcW w:w="918" w:type="dxa"/>
          </w:tcPr>
          <w:p w14:paraId="37F5B70F" w14:textId="77777777" w:rsidR="00642EED" w:rsidRPr="00642EED" w:rsidRDefault="00642EED" w:rsidP="00642EED">
            <w:pPr>
              <w:rPr>
                <w:rFonts w:ascii="Arial" w:hAnsi="Arial" w:cs="Arial"/>
                <w:sz w:val="18"/>
                <w:szCs w:val="18"/>
              </w:rPr>
            </w:pPr>
          </w:p>
        </w:tc>
        <w:tc>
          <w:tcPr>
            <w:tcW w:w="1281" w:type="dxa"/>
          </w:tcPr>
          <w:p w14:paraId="687C9A35" w14:textId="77777777" w:rsidR="00642EED" w:rsidRPr="00642EED" w:rsidRDefault="00642EED" w:rsidP="00642EED">
            <w:pPr>
              <w:rPr>
                <w:rFonts w:ascii="Arial" w:hAnsi="Arial" w:cs="Arial"/>
                <w:sz w:val="18"/>
                <w:szCs w:val="18"/>
              </w:rPr>
            </w:pPr>
          </w:p>
        </w:tc>
        <w:tc>
          <w:tcPr>
            <w:tcW w:w="3399" w:type="dxa"/>
          </w:tcPr>
          <w:p w14:paraId="0F34C257" w14:textId="77777777" w:rsidR="00642EED" w:rsidRPr="00642EED" w:rsidRDefault="00642EED" w:rsidP="00642EED">
            <w:pPr>
              <w:rPr>
                <w:rFonts w:ascii="Arial" w:hAnsi="Arial" w:cs="Arial"/>
                <w:sz w:val="18"/>
                <w:szCs w:val="18"/>
              </w:rPr>
            </w:pPr>
          </w:p>
        </w:tc>
        <w:tc>
          <w:tcPr>
            <w:tcW w:w="3690" w:type="dxa"/>
          </w:tcPr>
          <w:p w14:paraId="76104A56" w14:textId="77777777" w:rsidR="00642EED" w:rsidRPr="00642EED" w:rsidRDefault="00642EED" w:rsidP="00642EED">
            <w:pPr>
              <w:rPr>
                <w:rFonts w:ascii="Arial" w:hAnsi="Arial" w:cs="Arial"/>
                <w:sz w:val="18"/>
                <w:szCs w:val="18"/>
              </w:rPr>
            </w:pPr>
          </w:p>
        </w:tc>
        <w:tc>
          <w:tcPr>
            <w:tcW w:w="726" w:type="dxa"/>
          </w:tcPr>
          <w:p w14:paraId="6A00B110" w14:textId="77777777" w:rsidR="00642EED" w:rsidRPr="00642EED" w:rsidRDefault="00642EED" w:rsidP="00642EED">
            <w:pPr>
              <w:rPr>
                <w:rFonts w:ascii="Arial" w:hAnsi="Arial" w:cs="Arial"/>
                <w:sz w:val="18"/>
                <w:szCs w:val="18"/>
              </w:rPr>
            </w:pPr>
          </w:p>
        </w:tc>
      </w:tr>
    </w:tbl>
    <w:p w14:paraId="01751AFF" w14:textId="77777777" w:rsidR="00BC2A86" w:rsidRDefault="00BC2A86"/>
    <w:sectPr w:rsidR="00BC2A86" w:rsidSect="00642E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CF"/>
    <w:rsid w:val="00145ECF"/>
    <w:rsid w:val="00174DAA"/>
    <w:rsid w:val="003E53D8"/>
    <w:rsid w:val="004317C3"/>
    <w:rsid w:val="0054696D"/>
    <w:rsid w:val="005A30F6"/>
    <w:rsid w:val="00642EED"/>
    <w:rsid w:val="0078348E"/>
    <w:rsid w:val="008768B3"/>
    <w:rsid w:val="00A43C2D"/>
    <w:rsid w:val="00AF730E"/>
    <w:rsid w:val="00BA612D"/>
    <w:rsid w:val="00BC2A86"/>
    <w:rsid w:val="00EE148C"/>
    <w:rsid w:val="00F35A6C"/>
    <w:rsid w:val="00F71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0DDA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F730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2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F73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394622">
      <w:bodyDiv w:val="1"/>
      <w:marLeft w:val="0"/>
      <w:marRight w:val="0"/>
      <w:marTop w:val="0"/>
      <w:marBottom w:val="0"/>
      <w:divBdr>
        <w:top w:val="none" w:sz="0" w:space="0" w:color="auto"/>
        <w:left w:val="none" w:sz="0" w:space="0" w:color="auto"/>
        <w:bottom w:val="none" w:sz="0" w:space="0" w:color="auto"/>
        <w:right w:val="none" w:sz="0" w:space="0" w:color="auto"/>
      </w:divBdr>
    </w:div>
    <w:div w:id="1399749598">
      <w:bodyDiv w:val="1"/>
      <w:marLeft w:val="0"/>
      <w:marRight w:val="0"/>
      <w:marTop w:val="0"/>
      <w:marBottom w:val="0"/>
      <w:divBdr>
        <w:top w:val="none" w:sz="0" w:space="0" w:color="auto"/>
        <w:left w:val="none" w:sz="0" w:space="0" w:color="auto"/>
        <w:bottom w:val="none" w:sz="0" w:space="0" w:color="auto"/>
        <w:right w:val="none" w:sz="0" w:space="0" w:color="auto"/>
      </w:divBdr>
    </w:div>
    <w:div w:id="1737433687">
      <w:bodyDiv w:val="1"/>
      <w:marLeft w:val="0"/>
      <w:marRight w:val="0"/>
      <w:marTop w:val="0"/>
      <w:marBottom w:val="0"/>
      <w:divBdr>
        <w:top w:val="none" w:sz="0" w:space="0" w:color="auto"/>
        <w:left w:val="none" w:sz="0" w:space="0" w:color="auto"/>
        <w:bottom w:val="none" w:sz="0" w:space="0" w:color="auto"/>
        <w:right w:val="none" w:sz="0" w:space="0" w:color="auto"/>
      </w:divBdr>
    </w:div>
    <w:div w:id="20481409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ec.ny.gov/chemical/98328.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ec.ny.gov/permits/95623.html" TargetMode="External"/><Relationship Id="rId7" Type="http://schemas.openxmlformats.org/officeDocument/2006/relationships/hyperlink" Target="http://www.nytimes.com/2014/12/18/nyregion/cuomo-to-ban-fracking-in-new-york-state-citing-health-risks.html" TargetMode="External"/><Relationship Id="rId8" Type="http://schemas.openxmlformats.org/officeDocument/2006/relationships/hyperlink" Target="http://www.osc.state.ny.us/reports/economic/asthma_2014.pdf" TargetMode="External"/><Relationship Id="rId9" Type="http://schemas.openxmlformats.org/officeDocument/2006/relationships/hyperlink" Target="http://www.troyrecord.com/business/20150901/county-files-suit-against-crude-oil-business" TargetMode="External"/><Relationship Id="rId10" Type="http://schemas.openxmlformats.org/officeDocument/2006/relationships/hyperlink" Target="http://www.hudsondredging.com/dredging-of-the-hudson-river-chro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FE408-493C-484A-A538-3CC69313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514</Words>
  <Characters>2931</Characters>
  <Application>Microsoft Macintosh Word</Application>
  <DocSecurity>0</DocSecurity>
  <Lines>24</Lines>
  <Paragraphs>6</Paragraphs>
  <ScaleCrop>false</ScaleCrop>
  <Company>Siena College</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Mehner</dc:creator>
  <cp:keywords/>
  <dc:description/>
  <cp:lastModifiedBy>William Mehner</cp:lastModifiedBy>
  <cp:revision>11</cp:revision>
  <dcterms:created xsi:type="dcterms:W3CDTF">2015-10-27T21:13:00Z</dcterms:created>
  <dcterms:modified xsi:type="dcterms:W3CDTF">2015-10-28T02:21:00Z</dcterms:modified>
</cp:coreProperties>
</file>